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NewRomanPS-BoldMT" w:hAnsiTheme="majorHAnsi" w:cs="TimesNewRomanPS-BoldMT"/>
          <w:b/>
          <w:bCs/>
          <w:sz w:val="28"/>
          <w:szCs w:val="28"/>
        </w:rPr>
      </w:pPr>
      <w:r w:rsidRPr="00BC4AF7">
        <w:rPr>
          <w:rFonts w:asciiTheme="majorHAnsi" w:eastAsia="TimesNewRomanPS-BoldMT" w:hAnsiTheme="majorHAnsi" w:cs="TimesNewRomanPS-BoldMT"/>
          <w:b/>
          <w:bCs/>
          <w:sz w:val="28"/>
          <w:szCs w:val="28"/>
        </w:rPr>
        <w:t>СИСТЕМА КОММУНИКАТИВНЫХ ЭТЮДОВ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NewRomanPS-BoldMT" w:hAnsiTheme="majorHAnsi" w:cs="TimesNewRomanPS-BoldMT"/>
          <w:b/>
          <w:bCs/>
          <w:sz w:val="28"/>
          <w:szCs w:val="28"/>
        </w:rPr>
      </w:pPr>
      <w:r w:rsidRPr="00BC4AF7">
        <w:rPr>
          <w:rFonts w:asciiTheme="majorHAnsi" w:eastAsia="TimesNewRomanPS-BoldMT" w:hAnsiTheme="majorHAnsi" w:cs="TimesNewRomanPS-BoldMT"/>
          <w:b/>
          <w:bCs/>
          <w:sz w:val="28"/>
          <w:szCs w:val="28"/>
        </w:rPr>
        <w:t>ДЛЯ АКТИВИЗАЦИИ УСТНОЙ РЕЧИ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NewRomanPS-ItalicMT" w:hAnsiTheme="majorHAnsi" w:cs="TimesNewRomanPS-ItalicMT"/>
          <w:i/>
          <w:iCs/>
          <w:sz w:val="28"/>
          <w:szCs w:val="28"/>
        </w:rPr>
      </w:pPr>
      <w:r w:rsidRPr="00BC4AF7">
        <w:rPr>
          <w:rFonts w:asciiTheme="majorHAnsi" w:eastAsia="TimesNewRomanPS-ItalicMT" w:hAnsiTheme="majorHAnsi" w:cs="TimesNewRomanPS-ItalicMT"/>
          <w:i/>
          <w:iCs/>
          <w:sz w:val="28"/>
          <w:szCs w:val="28"/>
        </w:rPr>
        <w:t>О.А.</w:t>
      </w:r>
      <w:r w:rsidRPr="00BC4AF7">
        <w:rPr>
          <w:rFonts w:asciiTheme="majorHAnsi" w:eastAsia="TimesNewRomanPS-ItalicMT" w:hAnsiTheme="majorHAnsi" w:cs="TimesNewRomanPS-ItalicMT"/>
          <w:i/>
          <w:iCs/>
          <w:sz w:val="28"/>
          <w:szCs w:val="28"/>
        </w:rPr>
        <w:t xml:space="preserve"> </w:t>
      </w:r>
      <w:r w:rsidRPr="00BC4AF7">
        <w:rPr>
          <w:rFonts w:asciiTheme="majorHAnsi" w:eastAsia="TimesNewRomanPS-ItalicMT" w:hAnsiTheme="majorHAnsi" w:cs="TimesNewRomanPS-ItalicMT"/>
          <w:i/>
          <w:iCs/>
          <w:sz w:val="28"/>
          <w:szCs w:val="28"/>
        </w:rPr>
        <w:t>Зайцева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>Наверное, многие преподаватели, вне зависимости от своего педагогического стажа, хотя бы однажды в своей практике сталкивались со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следующей проблемой: как сделать обучение иностранному языку максимально творческим процессом и одновременно внести в учебную деятельность элементы деятельности интеллектуальной.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>По А.А. Леонтьеву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,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“основная задача – перестроить методику, подчинив её системе мыслительных и коммуникативных задач,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п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ревратить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учебную деятельность из совокупности механических операций по усвоению абстрактных языковых знаний и отработки речевых навыков в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творческую интеллектуальную активность обучаемых”.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Для решения данной проблемы широкие перспективы открыл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м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етод активизации резервных возможностей личности, созданный, на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кафедре ФПК Китайгородской Г.А., как один из вариантов интенсивных методов.  Эффективность данной системы заключается в ее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направленности на комплексное развитие личности </w:t>
      </w:r>
      <w:proofErr w:type="gramStart"/>
      <w:r w:rsidRPr="00BC4AF7">
        <w:rPr>
          <w:rFonts w:asciiTheme="majorHAnsi" w:eastAsia="TimesNewRomanPSMT" w:hAnsiTheme="majorHAnsi" w:cs="TimesNewRomanPSMT"/>
          <w:sz w:val="28"/>
          <w:szCs w:val="28"/>
        </w:rPr>
        <w:t>обучаемого</w:t>
      </w:r>
      <w:proofErr w:type="gramEnd"/>
      <w:r w:rsidRPr="00BC4AF7">
        <w:rPr>
          <w:rFonts w:asciiTheme="majorHAnsi" w:eastAsia="TimesNewRomanPSMT" w:hAnsiTheme="majorHAnsi" w:cs="TimesNewRomanPSMT"/>
          <w:sz w:val="28"/>
          <w:szCs w:val="28"/>
        </w:rPr>
        <w:t>, на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одновременное развитие интеллектуальных, эмоциональных и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моти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-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вационных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ее сторон.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Максимальный эффект учебного материала достигается </w:t>
      </w:r>
      <w:proofErr w:type="spellStart"/>
      <w:proofErr w:type="gramStart"/>
      <w:r w:rsidRPr="00BC4AF7">
        <w:rPr>
          <w:rFonts w:asciiTheme="majorHAnsi" w:eastAsia="TimesNewRomanPSMT" w:hAnsiTheme="majorHAnsi" w:cs="TimesNewRomanPSMT"/>
          <w:sz w:val="28"/>
          <w:szCs w:val="28"/>
        </w:rPr>
        <w:t>посредст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-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вом</w:t>
      </w:r>
      <w:proofErr w:type="spellEnd"/>
      <w:proofErr w:type="gram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коммуникативных этюдов. Эта система выдвигает на первый план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смысло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-коммуникативное начало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перед </w:t>
      </w:r>
      <w:proofErr w:type="gramStart"/>
      <w:r w:rsidRPr="00BC4AF7">
        <w:rPr>
          <w:rFonts w:asciiTheme="majorHAnsi" w:eastAsia="TimesNewRomanPSMT" w:hAnsiTheme="majorHAnsi" w:cs="TimesNewRomanPSMT"/>
          <w:sz w:val="28"/>
          <w:szCs w:val="28"/>
        </w:rPr>
        <w:t>формально-языковым</w:t>
      </w:r>
      <w:proofErr w:type="gramEnd"/>
      <w:r w:rsidRPr="00BC4AF7">
        <w:rPr>
          <w:rFonts w:asciiTheme="majorHAnsi" w:eastAsia="TimesNewRomanPSMT" w:hAnsiTheme="majorHAnsi" w:cs="TimesNewRomanPSMT"/>
          <w:sz w:val="28"/>
          <w:szCs w:val="28"/>
        </w:rPr>
        <w:t>, повышая активность учащихся, направляя их на спонтанную речь и освобождая от чувства страха перед ошибками. Таким образом, когда акцент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приходится на смысл фраз, последние становятся непосредственным выражением переживаний самих учащихся, которые думают не о том, </w:t>
      </w:r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как</w:t>
      </w:r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сказать, а о том, </w:t>
      </w:r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что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сказать.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>Часто в педагогической практике приходится сталкиваться с такой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ситуацией, когда словарный запас учащегося велик, а высказаться он не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может, а всё оттого, что </w:t>
      </w:r>
      <w:proofErr w:type="gramStart"/>
      <w:r w:rsidRPr="00BC4AF7">
        <w:rPr>
          <w:rFonts w:asciiTheme="majorHAnsi" w:eastAsia="TimesNewRomanPSMT" w:hAnsiTheme="majorHAnsi" w:cs="TimesNewRomanPSMT"/>
          <w:sz w:val="28"/>
          <w:szCs w:val="28"/>
        </w:rPr>
        <w:t>нет потребности говорить</w:t>
      </w:r>
      <w:proofErr w:type="gram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. Главное – </w:t>
      </w:r>
      <w:proofErr w:type="spellStart"/>
      <w:proofErr w:type="gramStart"/>
      <w:r w:rsidRPr="00BC4AF7">
        <w:rPr>
          <w:rFonts w:asciiTheme="majorHAnsi" w:eastAsia="TimesNewRomanPSMT" w:hAnsiTheme="majorHAnsi" w:cs="TimesNewRomanPSMT"/>
          <w:sz w:val="28"/>
          <w:szCs w:val="28"/>
        </w:rPr>
        <w:t>заинтере-сованность</w:t>
      </w:r>
      <w:proofErr w:type="spellEnd"/>
      <w:proofErr w:type="gram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в деятельности; проблемные ситуации и мотивы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нтеллекту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>-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альной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деятельности в этих ситуациях.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Как правило, при постановке вопроса таким образом </w:t>
      </w:r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“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Ask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your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f</w:t>
      </w:r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riend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to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get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a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ticket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for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you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to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theatre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”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учащиеся обмениваются всего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>лишь 2 – 3 фразами. А если мы дадим ситуацию, имеющую коммуникативное ядро, когда при выполнении учащиеся переживают, перевоплощаются в разные роли, выражают чувства, мысли, просят, рассуждают,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тем самым они перестраиваются, “заряжаются изнутри”, что естественно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ведёт к спонтанности в коммуникативном акте. Таким образом, вопрос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должен быть сформулирован следующим образом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: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“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You’re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a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big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theatrelover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A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famous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English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theatre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coming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on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its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tour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to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Moscow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It’s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only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going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to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give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a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couple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of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performances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It’s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a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crime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to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lastRenderedPageBreak/>
        <w:t>miss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a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chance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to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see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it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You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know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that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some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of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your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friends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have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a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relative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or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friend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working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at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booking-office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Try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your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luck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,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use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your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connection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and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get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yourself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a</w:t>
      </w:r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seat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.”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В первом случае –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спрограммированно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выступление одного учащегося (говорящего, который лишён возможности учитывать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имику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>, жесты, поведение, интонацию другого). Во втором случае принимается во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внимание обратная связь.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Система коммуникативных этюдов включает в себя и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м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ыслительные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задачи. Например, при прохождении материала одного из уроков, касающегося семьи профессора Иванова.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>А сейчас у нас урок математики: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1)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Pr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Ivanov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52.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His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son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21.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How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old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was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professor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when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his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son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was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born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?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2)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Pr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Ivanov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52.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His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wife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2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years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younger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How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old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was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professor’s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wife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when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her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son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was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born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?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>А теперь каждый даёт свою задачку.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Также система коммуникативных этюдов не исключает и задачи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н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а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концентрацию внимания. Это отчётливо видно из следующего примера,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где используются слайды с изображением времён года. Преподаватель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показывает слайд, затем убирает и начинает задавать вопросы на проверку внимания; неправильно описывает картинку, провоцируя учащихся исправить его.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Spring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park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it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May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?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there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much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snow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on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ground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?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Are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people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going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skiing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and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skating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?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Are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there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little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springs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park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?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MT"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Has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snow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melted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?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etc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>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Autumn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Indian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Summer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Could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I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have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your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attention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,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please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?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I’d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like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you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to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say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if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my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statements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are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true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or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false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How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are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you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going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to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begin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your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remarks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>?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Right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!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Right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you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are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!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That’s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right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!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Do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you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really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think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so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?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Are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you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sure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that’s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right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?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I’m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not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sure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you’re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right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! I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don’t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think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so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/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suppose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so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/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believe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so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.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I’m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afraid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you’re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wrong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>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It’s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January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.</w:t>
      </w:r>
      <w:bookmarkStart w:id="0" w:name="_GoBack"/>
      <w:bookmarkEnd w:id="0"/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MT"/>
          <w:sz w:val="28"/>
          <w:szCs w:val="28"/>
        </w:rPr>
      </w:pP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trees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are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emerald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green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,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the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flowers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are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in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 </w:t>
      </w:r>
      <w:proofErr w:type="spellStart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>blossom</w:t>
      </w:r>
      <w:proofErr w:type="spellEnd"/>
      <w:r w:rsidRPr="00BC4AF7">
        <w:rPr>
          <w:rFonts w:asciiTheme="majorHAnsi" w:eastAsia="TimesNewRomanPSMT" w:hAnsiTheme="majorHAnsi" w:cs="TimesNewRomanPS-BoldItalicMT"/>
          <w:b/>
          <w:bCs/>
          <w:i/>
          <w:iCs/>
          <w:sz w:val="28"/>
          <w:szCs w:val="28"/>
        </w:rPr>
        <w:t xml:space="preserve">, </w:t>
      </w:r>
      <w:proofErr w:type="spellStart"/>
      <w:r w:rsidRPr="00BC4AF7">
        <w:rPr>
          <w:rFonts w:asciiTheme="majorHAnsi" w:eastAsia="TimesNewRomanPSMT" w:hAnsiTheme="majorHAnsi" w:cs="TimesNewRomanPSMT"/>
          <w:sz w:val="28"/>
          <w:szCs w:val="28"/>
        </w:rPr>
        <w:t>etc</w:t>
      </w:r>
      <w:proofErr w:type="spellEnd"/>
      <w:r w:rsidRPr="00BC4AF7">
        <w:rPr>
          <w:rFonts w:asciiTheme="majorHAnsi" w:eastAsia="TimesNewRomanPSMT" w:hAnsiTheme="majorHAnsi" w:cs="TimesNewRomanPSMT"/>
          <w:sz w:val="28"/>
          <w:szCs w:val="28"/>
        </w:rPr>
        <w:t>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>Стоит отметить, что метод активизации резервных возможностей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личности базируется на сочетании индивидуальных и групповых форм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работы, причём </w:t>
      </w:r>
      <w:proofErr w:type="gramStart"/>
      <w:r w:rsidRPr="00BC4AF7">
        <w:rPr>
          <w:rFonts w:asciiTheme="majorHAnsi" w:eastAsia="TimesNewRomanPSMT" w:hAnsiTheme="majorHAnsi" w:cs="TimesNewRomanPSMT"/>
          <w:sz w:val="28"/>
          <w:szCs w:val="28"/>
        </w:rPr>
        <w:t>последняя</w:t>
      </w:r>
      <w:proofErr w:type="gramEnd"/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выводится на первый план.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Межличностные отношения строятся на основе взаимопомощи,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д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оброжелательности, взаимной поддержке, одобрения, интереса, участия в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BC4AF7">
        <w:rPr>
          <w:rFonts w:asciiTheme="majorHAnsi" w:eastAsia="TimesNewRomanPSMT" w:hAnsiTheme="majorHAnsi" w:cs="TimesNewRomanPSMT"/>
          <w:sz w:val="28"/>
          <w:szCs w:val="28"/>
        </w:rPr>
        <w:t>условиях активного и живого общения.</w:t>
      </w:r>
    </w:p>
    <w:p w:rsidR="00BC4AF7" w:rsidRPr="00BC4AF7" w:rsidRDefault="00BC4AF7" w:rsidP="00BC4AF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F105DF" w:rsidRPr="00BC4AF7" w:rsidRDefault="00BC4AF7" w:rsidP="00BC4AF7">
      <w:pPr>
        <w:ind w:firstLine="709"/>
        <w:rPr>
          <w:rFonts w:asciiTheme="majorHAnsi" w:hAnsiTheme="majorHAnsi"/>
          <w:sz w:val="28"/>
          <w:szCs w:val="28"/>
        </w:rPr>
      </w:pPr>
    </w:p>
    <w:sectPr w:rsidR="00F105DF" w:rsidRPr="00BC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F7"/>
    <w:rsid w:val="00317D0F"/>
    <w:rsid w:val="00445D9A"/>
    <w:rsid w:val="00B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 и Денис</dc:creator>
  <cp:lastModifiedBy>Ника и Денис</cp:lastModifiedBy>
  <cp:revision>1</cp:revision>
  <dcterms:created xsi:type="dcterms:W3CDTF">2012-03-20T15:44:00Z</dcterms:created>
  <dcterms:modified xsi:type="dcterms:W3CDTF">2012-03-20T15:52:00Z</dcterms:modified>
</cp:coreProperties>
</file>